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9" w:rsidRDefault="00141D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1D39" w:rsidRDefault="00141D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-353060</wp:posOffset>
            </wp:positionV>
            <wp:extent cx="5605780" cy="8333105"/>
            <wp:effectExtent l="19050" t="0" r="0" b="0"/>
            <wp:wrapTight wrapText="bothSides">
              <wp:wrapPolygon edited="0">
                <wp:start x="-73" y="0"/>
                <wp:lineTo x="-73" y="21529"/>
                <wp:lineTo x="21580" y="21529"/>
                <wp:lineTo x="21580" y="0"/>
                <wp:lineTo x="-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3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0A2E54" w:rsidRPr="000A2E54" w:rsidRDefault="000A2E54" w:rsidP="00BB6682">
      <w:pP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</w:pPr>
      <w:r w:rsidRPr="000A2E5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Правила внутреннего распорядка </w:t>
      </w:r>
      <w:r w:rsidRPr="000A2E54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>обучающихся  государственного бюджетного профессионального образовательного учреждения</w:t>
      </w:r>
    </w:p>
    <w:p w:rsidR="00D31344" w:rsidRPr="003638DF" w:rsidRDefault="00D31344" w:rsidP="00D31344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3638DF">
        <w:rPr>
          <w:rFonts w:ascii="Times New Roman" w:hAnsi="Times New Roman" w:cs="Times New Roman"/>
          <w:b/>
          <w:sz w:val="28"/>
          <w:szCs w:val="30"/>
          <w:lang w:val="ru-RU"/>
        </w:rPr>
        <w:t>«Владикавказский многопрофильный техникум»</w:t>
      </w:r>
    </w:p>
    <w:p w:rsidR="00D31344" w:rsidRPr="00D31344" w:rsidRDefault="00D31344" w:rsidP="006B7561">
      <w:pPr>
        <w:shd w:val="clear" w:color="auto" w:fill="FFFFFF"/>
        <w:spacing w:after="0"/>
        <w:ind w:left="1392" w:right="1229" w:firstLine="394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val="ru-RU"/>
        </w:rPr>
      </w:pPr>
    </w:p>
    <w:p w:rsidR="00C70F26" w:rsidRPr="006007ED" w:rsidRDefault="00C70F26" w:rsidP="006B75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8009B4" w:rsidRDefault="00F3633D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007ED" w:rsidRPr="00C70F26" w:rsidRDefault="006007ED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Pr="00D31344" w:rsidRDefault="004708B0" w:rsidP="00D31344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30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щихся, применение поощрения и мер дисциплинарного взыскания к </w:t>
      </w:r>
      <w:proofErr w:type="gramStart"/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бюджетного профессионального образовательного </w:t>
      </w:r>
      <w:r w:rsidR="000A2E54" w:rsidRPr="00D31344">
        <w:rPr>
          <w:rFonts w:ascii="Times New Roman" w:hAnsi="Times New Roman" w:cs="Times New Roman"/>
          <w:szCs w:val="24"/>
          <w:lang w:val="ru-RU"/>
        </w:rPr>
        <w:t xml:space="preserve">учреждения </w:t>
      </w:r>
      <w:r w:rsidR="00D31344" w:rsidRPr="00D31344">
        <w:rPr>
          <w:rFonts w:ascii="Times New Roman" w:hAnsi="Times New Roman" w:cs="Times New Roman"/>
          <w:sz w:val="24"/>
          <w:szCs w:val="30"/>
          <w:lang w:val="ru-RU"/>
        </w:rPr>
        <w:t>«Владикавказский многопрофильный техникум»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proofErr w:type="gramStart"/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F3633D" w:rsidRDefault="009C2AF1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8009B4" w:rsidRDefault="005C2ADA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об</w:t>
      </w:r>
      <w:r w:rsidR="00B64690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разовательного процесса</w:t>
      </w:r>
    </w:p>
    <w:p w:rsidR="00E77B8C" w:rsidRPr="00C70F26" w:rsidRDefault="00E77B8C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в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федеральными государственными образовательными стандартами и освоением образовательной программы путем чередования теоретического обучения и видов практик.</w:t>
      </w:r>
    </w:p>
    <w:p w:rsidR="00B32426" w:rsidRPr="00C70F26" w:rsidRDefault="00B32426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B66C3C">
        <w:rPr>
          <w:rFonts w:ascii="Times New Roman" w:hAnsi="Times New Roman"/>
          <w:bCs/>
          <w:sz w:val="24"/>
          <w:szCs w:val="24"/>
          <w:lang w:val="ru-RU" w:eastAsia="ru-RU"/>
        </w:rPr>
        <w:t>Учебный год начинается 1 сентября и заканчивается согласно графику учебного процесса.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2426" w:rsidRDefault="00B32426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C3C" w:rsidRPr="00B66C3C" w:rsidRDefault="00B32426" w:rsidP="008009B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2.3. </w:t>
      </w:r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 xml:space="preserve">Максимальная учебная нагрузка  </w:t>
      </w:r>
      <w:proofErr w:type="gramStart"/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>обучающихся</w:t>
      </w:r>
      <w:proofErr w:type="gramEnd"/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B66C3C" w:rsidRPr="00B66C3C">
        <w:rPr>
          <w:rFonts w:ascii="Times New Roman" w:hAnsi="Times New Roman"/>
          <w:bCs/>
          <w:sz w:val="24"/>
          <w:szCs w:val="24"/>
          <w:lang w:val="ru-RU" w:eastAsia="ru-RU"/>
        </w:rPr>
        <w:t>Максимальный объем аудиторной учебной нагрузки составляет 36 академических часов в неделю.</w:t>
      </w:r>
    </w:p>
    <w:p w:rsidR="00DF5CF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ются в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шестидневная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учебная неделя.</w:t>
      </w:r>
    </w:p>
    <w:p w:rsidR="00B64690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Санитарно-эпидемиологических правил и нормативов </w:t>
      </w:r>
      <w:proofErr w:type="spellStart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составляет 4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129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перемен между уроками составляет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10 минут. Перемены на обед </w:t>
      </w:r>
      <w:r w:rsidR="00031FE2" w:rsidRPr="00C70F26">
        <w:rPr>
          <w:rFonts w:ascii="Times New Roman" w:hAnsi="Times New Roman" w:cs="Times New Roman"/>
          <w:sz w:val="24"/>
          <w:szCs w:val="24"/>
          <w:lang w:val="ru-RU"/>
        </w:rPr>
        <w:t>после 4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1F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5-го урока 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 -20 минут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176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031F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C70F26" w:rsidRDefault="00F1100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8009B4" w:rsidRDefault="004A16D4" w:rsidP="008009B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рава, обязанности и ответственность </w:t>
      </w:r>
      <w:r w:rsidR="00031FE2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</w:t>
      </w:r>
      <w:r w:rsidR="00031FE2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="00E106AE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</w:p>
    <w:p w:rsidR="00E77B8C" w:rsidRPr="00C70F26" w:rsidRDefault="00E77B8C" w:rsidP="008009B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8009B4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290C9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.1. </w:t>
      </w:r>
      <w:r w:rsidR="007B0D53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Учащиеся имеют право</w:t>
      </w:r>
      <w:r w:rsidR="00414F11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gramStart"/>
      <w:r w:rsidR="00414F11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на</w:t>
      </w:r>
      <w:proofErr w:type="gramEnd"/>
      <w:r w:rsidR="00290C9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1568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помощи;</w:t>
      </w:r>
    </w:p>
    <w:p w:rsidR="001568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Техникумо</w:t>
      </w:r>
      <w:r w:rsidR="00B324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оложением о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 xml:space="preserve">совете </w:t>
      </w:r>
      <w:proofErr w:type="spellStart"/>
      <w:r w:rsidR="005E4B5C">
        <w:rPr>
          <w:rFonts w:ascii="Times New Roman" w:hAnsi="Times New Roman" w:cs="Times New Roman"/>
          <w:sz w:val="24"/>
          <w:szCs w:val="24"/>
          <w:lang w:val="ru-RU"/>
        </w:rPr>
        <w:t>обучающихсс</w:t>
      </w:r>
      <w:proofErr w:type="spell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8009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медицинским пунктом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объектами культуры и объектами спорта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8009B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455A4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.2.</w:t>
      </w:r>
      <w:r w:rsidR="00BF0DAA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455A42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 xml:space="preserve">учебной практике можно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</w:t>
      </w:r>
      <w:r w:rsidR="00312A3F">
        <w:rPr>
          <w:rFonts w:ascii="Times New Roman" w:hAnsi="Times New Roman" w:cs="Times New Roman"/>
          <w:sz w:val="24"/>
          <w:szCs w:val="24"/>
          <w:lang w:val="ru-RU"/>
        </w:rPr>
        <w:t xml:space="preserve"> свободной форме одежды, а также по необходимости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специальной одежде и обуви;</w:t>
      </w:r>
    </w:p>
    <w:p w:rsidR="00DB01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B7752B" w:rsidRPr="008009B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3</w:t>
      </w:r>
      <w:r w:rsidR="00B7752B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.3. </w:t>
      </w:r>
      <w:r w:rsidR="00B66C3C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Обучающимся</w:t>
      </w:r>
      <w:r w:rsidR="00B7752B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запрещается</w:t>
      </w:r>
      <w:r w:rsidR="0099114A" w:rsidRPr="008009B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B7752B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001B8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0A2E54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3.3.3.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находиться в помещениях и на территории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 состоянии алкогольного или наркотического опьянения;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3.3.4. выносить имущество, оборудование и другие материальные ценности из помещений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3.3.5. находиться в зданиях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 выходные и праздничные дни (в случае отсутствия плановых мероприятий);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3.3.6. приводить с собой в помещения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посторонних лиц без разрешения соответствующих структурных подразделений;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3.3.7. на территории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иметь при себе холодное, травматическое и огнестрельное оружие, в том числе отнесенное к категории «самозащиты», даже при наличии специального разрешения;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3.3.8. во время учебных занятий пользование мобильной сотовой связью;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3.3.9. совершать любые действия, влекущие за собой опасность для окружающих, собственной жизни и здоровья;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3.3.10.  демонстративное проявление близких отношений между юношами и девушками;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3.3.11.  вносить любого рода записи, подчистки, исправления в справки и другие документы, выданные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="005D56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3.3.12. пропагандировать идеи религиозного, экстремистского и националистического характера;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3.3.13. проводить агитацию к вступлению в общественно-политические организации (объединения), движения и партии, а также деятельность этих организаций на территории и в помещениях </w:t>
      </w:r>
      <w:r w:rsidR="00D313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Техникум</w:t>
      </w: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3.3.14. находиться на территории и в учебных аудиториях с животными и птицами;</w:t>
      </w:r>
    </w:p>
    <w:p w:rsidR="0026387B" w:rsidRPr="000A2E54" w:rsidRDefault="0026387B" w:rsidP="008009B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3.3.15. играть в азартные игры и игральные карты;</w:t>
      </w:r>
    </w:p>
    <w:p w:rsidR="00733713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3713" w:rsidRPr="000A2E54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9114A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0A2E54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учащихся, работников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и иных лиц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0A2E54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0A2E54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0A2E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387B" w:rsidRPr="000A2E5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0A2E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03E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312A3F" w:rsidRPr="000A2E5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66C3C" w:rsidRPr="000A2E54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727C6B" w:rsidRPr="000A2E54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в соответствии с настоящими Правилами.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6B7561" w:rsidRDefault="000D15F2" w:rsidP="006B7561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40159C"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оощрения и дисциплинарно</w:t>
      </w: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0159C"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воздействи</w:t>
      </w:r>
      <w:r w:rsidRPr="006B756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6B7561" w:rsidRPr="006B7561" w:rsidRDefault="006B7561" w:rsidP="006B7561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6AEA" w:rsidRPr="00C70F26" w:rsidRDefault="00EA3747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, безупречную учебу, достижения на олимпиадах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0C4F">
        <w:rPr>
          <w:rFonts w:ascii="Times New Roman" w:hAnsi="Times New Roman" w:cs="Times New Roman"/>
          <w:sz w:val="24"/>
          <w:szCs w:val="24"/>
          <w:lang w:val="ru-RU"/>
        </w:rPr>
        <w:t>профмастерства</w:t>
      </w:r>
      <w:proofErr w:type="spellEnd"/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и общеобразовательных дисциплин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DC0C4F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4F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DC0C4F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C0C4F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  <w:proofErr w:type="gramEnd"/>
    </w:p>
    <w:p w:rsidR="007B1CFB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, мастера производственного обучения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(или) учителя-предметника за особые успехи, достигнутые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E714F8" w:rsidRPr="00C70F26" w:rsidRDefault="00E714F8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работников, направленные на разъяснение недопустимости нарушения правил поведения </w:t>
      </w:r>
      <w:proofErr w:type="gramStart"/>
      <w:r w:rsidR="006007E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8009B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совета родителей, но не более семи учебных дней со дня представления директору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8009B4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4.6.2.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60248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B1C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7B1C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 отчислении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щийся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300E1" w:rsidRPr="00C70F2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 xml:space="preserve">емуся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ству </w:t>
      </w:r>
      <w:r w:rsidR="005E4B5C">
        <w:rPr>
          <w:rFonts w:ascii="Times New Roman" w:hAnsi="Times New Roman" w:cs="Times New Roman"/>
          <w:sz w:val="24"/>
          <w:szCs w:val="24"/>
          <w:lang w:val="ru-RU"/>
        </w:rPr>
        <w:t>совета обучающихся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8009B4" w:rsidRDefault="0060281E" w:rsidP="008009B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прав </w:t>
      </w:r>
      <w:r w:rsidR="005300E1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</w:t>
      </w:r>
      <w:r w:rsidR="005300E1"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8009B4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</w:t>
      </w:r>
    </w:p>
    <w:p w:rsidR="00C4095B" w:rsidRDefault="00C4095B" w:rsidP="008009B4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8009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00E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D31344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B66C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0E1" w:rsidRPr="005300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4CBE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8009B4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800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24B1B"/>
    <w:rsid w:val="00025A91"/>
    <w:rsid w:val="00031FE2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A2E54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1D39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387B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A3F"/>
    <w:rsid w:val="00312DF3"/>
    <w:rsid w:val="00315F35"/>
    <w:rsid w:val="00320A76"/>
    <w:rsid w:val="0033597F"/>
    <w:rsid w:val="00360792"/>
    <w:rsid w:val="003638DF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AD9"/>
    <w:rsid w:val="00445FFD"/>
    <w:rsid w:val="00455A42"/>
    <w:rsid w:val="00464BDB"/>
    <w:rsid w:val="00470674"/>
    <w:rsid w:val="004708B0"/>
    <w:rsid w:val="00477FA0"/>
    <w:rsid w:val="00487B95"/>
    <w:rsid w:val="00497F9A"/>
    <w:rsid w:val="004A16D4"/>
    <w:rsid w:val="004A28F4"/>
    <w:rsid w:val="004A420A"/>
    <w:rsid w:val="004C3667"/>
    <w:rsid w:val="004C40B5"/>
    <w:rsid w:val="004E3EFF"/>
    <w:rsid w:val="0050398D"/>
    <w:rsid w:val="00507062"/>
    <w:rsid w:val="005300E1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5D5677"/>
    <w:rsid w:val="005E12CA"/>
    <w:rsid w:val="005E4B5C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B7561"/>
    <w:rsid w:val="006C4094"/>
    <w:rsid w:val="006D667E"/>
    <w:rsid w:val="006E4CBE"/>
    <w:rsid w:val="006F2CE6"/>
    <w:rsid w:val="007103EB"/>
    <w:rsid w:val="00712D81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1CFB"/>
    <w:rsid w:val="007B47C5"/>
    <w:rsid w:val="007C556B"/>
    <w:rsid w:val="007E5EEC"/>
    <w:rsid w:val="007F52EF"/>
    <w:rsid w:val="008001B8"/>
    <w:rsid w:val="008009B4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D1697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029B2"/>
    <w:rsid w:val="00A161AC"/>
    <w:rsid w:val="00A17272"/>
    <w:rsid w:val="00A21EF8"/>
    <w:rsid w:val="00A231BF"/>
    <w:rsid w:val="00A35F2C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2426"/>
    <w:rsid w:val="00B353D2"/>
    <w:rsid w:val="00B4027A"/>
    <w:rsid w:val="00B526AA"/>
    <w:rsid w:val="00B551E8"/>
    <w:rsid w:val="00B5655E"/>
    <w:rsid w:val="00B64690"/>
    <w:rsid w:val="00B66C3C"/>
    <w:rsid w:val="00B7752B"/>
    <w:rsid w:val="00B811CF"/>
    <w:rsid w:val="00B847DF"/>
    <w:rsid w:val="00B876E3"/>
    <w:rsid w:val="00B94CCF"/>
    <w:rsid w:val="00BA483B"/>
    <w:rsid w:val="00BB159D"/>
    <w:rsid w:val="00BB6682"/>
    <w:rsid w:val="00BC27C3"/>
    <w:rsid w:val="00BD4271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C0BBF"/>
    <w:rsid w:val="00CD02BF"/>
    <w:rsid w:val="00CD3C22"/>
    <w:rsid w:val="00D11766"/>
    <w:rsid w:val="00D31344"/>
    <w:rsid w:val="00D349E5"/>
    <w:rsid w:val="00D56F4F"/>
    <w:rsid w:val="00D651D1"/>
    <w:rsid w:val="00D85616"/>
    <w:rsid w:val="00DA32ED"/>
    <w:rsid w:val="00DA3D26"/>
    <w:rsid w:val="00DB01EA"/>
    <w:rsid w:val="00DC0C4F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2002F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E4D03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7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B75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User</cp:lastModifiedBy>
  <cp:revision>14</cp:revision>
  <cp:lastPrinted>2016-06-24T08:03:00Z</cp:lastPrinted>
  <dcterms:created xsi:type="dcterms:W3CDTF">2014-03-12T09:52:00Z</dcterms:created>
  <dcterms:modified xsi:type="dcterms:W3CDTF">2018-03-23T07:45:00Z</dcterms:modified>
</cp:coreProperties>
</file>